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7B229B">
        <w:rPr>
          <w:sz w:val="28"/>
          <w:szCs w:val="28"/>
        </w:rPr>
        <w:t xml:space="preserve"> 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</w:t>
      </w:r>
      <w:r w:rsidRPr="00FE2974">
        <w:rPr>
          <w:sz w:val="28"/>
          <w:szCs w:val="28"/>
        </w:rPr>
        <w:t xml:space="preserve"> </w:t>
      </w:r>
      <w:r w:rsidR="002C1FA2">
        <w:rPr>
          <w:sz w:val="28"/>
          <w:szCs w:val="28"/>
        </w:rPr>
        <w:t>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1A2680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</w:t>
      </w:r>
      <w:r w:rsidR="00117D9A" w:rsidRPr="009B3273">
        <w:rPr>
          <w:sz w:val="28"/>
          <w:szCs w:val="28"/>
        </w:rPr>
        <w:t xml:space="preserve"> </w:t>
      </w:r>
      <w:r w:rsidR="009B3273" w:rsidRPr="009B3273">
        <w:rPr>
          <w:sz w:val="28"/>
          <w:szCs w:val="28"/>
        </w:rPr>
        <w:t>Артемовском,</w:t>
      </w:r>
      <w:r w:rsidR="00FB252C" w:rsidRPr="009B3273">
        <w:rPr>
          <w:sz w:val="28"/>
          <w:szCs w:val="28"/>
        </w:rPr>
        <w:t xml:space="preserve"> </w:t>
      </w:r>
      <w:r w:rsidR="00BA1466" w:rsidRPr="00725BAB">
        <w:rPr>
          <w:b/>
          <w:sz w:val="28"/>
          <w:szCs w:val="28"/>
        </w:rPr>
        <w:t xml:space="preserve">Ачитском районе, </w:t>
      </w:r>
      <w:r w:rsidR="00BA1466" w:rsidRPr="00725BAB">
        <w:rPr>
          <w:sz w:val="28"/>
          <w:szCs w:val="28"/>
        </w:rPr>
        <w:t>Богдановичском</w:t>
      </w:r>
      <w:r w:rsidR="00BA1466" w:rsidRPr="00725BAB">
        <w:rPr>
          <w:b/>
          <w:sz w:val="28"/>
          <w:szCs w:val="28"/>
        </w:rPr>
        <w:t xml:space="preserve"> и Красноуфимском районах </w:t>
      </w:r>
      <w:r w:rsidR="00A05D29" w:rsidRPr="00725BAB">
        <w:rPr>
          <w:b/>
          <w:sz w:val="28"/>
          <w:szCs w:val="28"/>
        </w:rPr>
        <w:t>(по 2 ДТП</w:t>
      </w:r>
      <w:r w:rsidR="00A05D29" w:rsidRPr="009B3273">
        <w:rPr>
          <w:sz w:val="28"/>
          <w:szCs w:val="28"/>
        </w:rPr>
        <w:t xml:space="preserve">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CD195E" w:rsidRPr="00914909">
        <w:rPr>
          <w:color w:val="000000" w:themeColor="text1"/>
          <w:sz w:val="28"/>
          <w:szCs w:val="28"/>
        </w:rPr>
        <w:t xml:space="preserve"> 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</w:t>
      </w:r>
      <w:r w:rsidR="00095059" w:rsidRPr="009B3273">
        <w:rPr>
          <w:sz w:val="28"/>
          <w:szCs w:val="28"/>
        </w:rPr>
        <w:t xml:space="preserve"> </w:t>
      </w:r>
      <w:r w:rsidR="00095059">
        <w:rPr>
          <w:sz w:val="28"/>
          <w:szCs w:val="28"/>
        </w:rPr>
        <w:t>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Pr="00914909">
        <w:rPr>
          <w:color w:val="000000" w:themeColor="text1"/>
          <w:sz w:val="28"/>
          <w:szCs w:val="28"/>
        </w:rPr>
        <w:t xml:space="preserve"> 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914909">
        <w:rPr>
          <w:color w:val="000000" w:themeColor="text1"/>
          <w:sz w:val="28"/>
          <w:szCs w:val="28"/>
        </w:rPr>
        <w:t xml:space="preserve"> 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</w:t>
      </w:r>
      <w:r w:rsidRPr="00095059">
        <w:rPr>
          <w:sz w:val="28"/>
          <w:szCs w:val="28"/>
        </w:rPr>
        <w:t xml:space="preserve"> </w:t>
      </w:r>
      <w:r w:rsidR="00407118" w:rsidRPr="00095059">
        <w:rPr>
          <w:sz w:val="28"/>
          <w:szCs w:val="28"/>
        </w:rPr>
        <w:t>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="00B11175" w:rsidRPr="00095059">
        <w:rPr>
          <w:sz w:val="28"/>
          <w:szCs w:val="28"/>
        </w:rPr>
        <w:t xml:space="preserve"> 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Pr="00095059">
        <w:rPr>
          <w:sz w:val="28"/>
          <w:szCs w:val="28"/>
        </w:rPr>
        <w:t xml:space="preserve"> 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</w:t>
      </w:r>
      <w:r w:rsidRPr="00095059">
        <w:rPr>
          <w:sz w:val="28"/>
          <w:szCs w:val="28"/>
        </w:rPr>
        <w:t xml:space="preserve"> </w:t>
      </w:r>
      <w:r w:rsidR="00095059" w:rsidRPr="00095059">
        <w:rPr>
          <w:sz w:val="28"/>
          <w:szCs w:val="28"/>
        </w:rPr>
        <w:t>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407118" w:rsidRPr="00095059">
        <w:rPr>
          <w:sz w:val="28"/>
          <w:szCs w:val="28"/>
        </w:rPr>
        <w:t xml:space="preserve"> </w:t>
      </w:r>
      <w:r w:rsidR="005807AE" w:rsidRPr="003E64F2">
        <w:rPr>
          <w:sz w:val="28"/>
          <w:szCs w:val="28"/>
        </w:rPr>
        <w:t>несовершеннолетних</w:t>
      </w:r>
      <w:r w:rsidR="00BA1466" w:rsidRPr="003E64F2">
        <w:rPr>
          <w:sz w:val="28"/>
          <w:szCs w:val="28"/>
        </w:rPr>
        <w:t xml:space="preserve"> 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Pr="003E64F2">
        <w:rPr>
          <w:sz w:val="28"/>
          <w:szCs w:val="28"/>
        </w:rPr>
        <w:t xml:space="preserve">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4D462B" w:rsidRPr="003E64F2">
        <w:rPr>
          <w:sz w:val="28"/>
          <w:szCs w:val="28"/>
        </w:rPr>
        <w:t xml:space="preserve"> 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83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</w:t>
      </w:r>
      <w:r w:rsidRPr="005E1019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>25%</w:t>
      </w:r>
      <w:r w:rsidR="006046F6" w:rsidRPr="00BD3B88">
        <w:rPr>
          <w:sz w:val="28"/>
          <w:szCs w:val="28"/>
        </w:rPr>
        <w:t xml:space="preserve"> </w:t>
      </w:r>
      <w:r w:rsidR="00960F26" w:rsidRPr="00BD3B88">
        <w:rPr>
          <w:sz w:val="28"/>
          <w:szCs w:val="28"/>
        </w:rPr>
        <w:t xml:space="preserve">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840261" w:rsidRPr="00BD3B88">
        <w:rPr>
          <w:sz w:val="28"/>
          <w:szCs w:val="28"/>
        </w:rPr>
        <w:t xml:space="preserve"> 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>Еще 2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ребенка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Pr="00315977">
        <w:rPr>
          <w:sz w:val="28"/>
          <w:szCs w:val="28"/>
        </w:rPr>
        <w:t xml:space="preserve"> 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</w:t>
      </w:r>
      <w:r w:rsidR="008F7621" w:rsidRPr="00315977">
        <w:rPr>
          <w:sz w:val="28"/>
          <w:szCs w:val="28"/>
        </w:rPr>
        <w:t xml:space="preserve"> </w:t>
      </w:r>
      <w:r w:rsidR="003F7645" w:rsidRPr="00315977">
        <w:rPr>
          <w:sz w:val="28"/>
          <w:szCs w:val="28"/>
        </w:rPr>
        <w:t>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085426" w:rsidRPr="004D587C">
        <w:rPr>
          <w:sz w:val="28"/>
          <w:szCs w:val="28"/>
        </w:rPr>
        <w:t xml:space="preserve"> 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>
        <w:rPr>
          <w:color w:val="000000" w:themeColor="text1"/>
          <w:sz w:val="28"/>
          <w:szCs w:val="28"/>
        </w:rPr>
        <w:t xml:space="preserve"> </w:t>
      </w:r>
      <w:r w:rsidR="00D95941" w:rsidRPr="00725BAB">
        <w:rPr>
          <w:b/>
          <w:color w:val="000000" w:themeColor="text1"/>
          <w:sz w:val="28"/>
          <w:szCs w:val="28"/>
        </w:rPr>
        <w:t>Красноуфимске</w:t>
      </w:r>
      <w:r w:rsidR="002F0581" w:rsidRPr="00725BAB">
        <w:rPr>
          <w:b/>
          <w:color w:val="000000" w:themeColor="text1"/>
          <w:sz w:val="28"/>
          <w:szCs w:val="28"/>
        </w:rPr>
        <w:t xml:space="preserve"> </w:t>
      </w:r>
      <w:r w:rsidR="005E2D85" w:rsidRPr="00725BAB">
        <w:rPr>
          <w:b/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>Талице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1.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 w:rsidR="00725BAB">
        <w:rPr>
          <w:sz w:val="28"/>
          <w:szCs w:val="28"/>
        </w:rPr>
        <w:t>.</w:t>
      </w:r>
    </w:p>
    <w:p w:rsidR="00E252EF" w:rsidRPr="00DF141B" w:rsidRDefault="00725BAB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работу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 xml:space="preserve">.  </w:t>
      </w:r>
      <w:r w:rsidR="00E252EF">
        <w:rPr>
          <w:sz w:val="28"/>
          <w:szCs w:val="28"/>
        </w:rPr>
        <w:t xml:space="preserve">По маршрутам движения детей «дом-школа-дом», </w:t>
      </w:r>
      <w:r w:rsidR="00E252EF" w:rsidRPr="000E2CE7">
        <w:rPr>
          <w:sz w:val="28"/>
          <w:szCs w:val="28"/>
        </w:rPr>
        <w:t>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725BAB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EC" w:rsidRDefault="006C79EC" w:rsidP="00874A55">
      <w:r>
        <w:separator/>
      </w:r>
    </w:p>
  </w:endnote>
  <w:endnote w:type="continuationSeparator" w:id="0">
    <w:p w:rsidR="006C79EC" w:rsidRDefault="006C79E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EC" w:rsidRDefault="006C79EC" w:rsidP="00874A55">
      <w:r>
        <w:separator/>
      </w:r>
    </w:p>
  </w:footnote>
  <w:footnote w:type="continuationSeparator" w:id="0">
    <w:p w:rsidR="006C79EC" w:rsidRDefault="006C79E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9D0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29D0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C79EC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25BAB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F4-4A6F-8447-78CEA06A8B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F4-4A6F-8447-78CEA06A8B12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F4-4A6F-8447-78CEA06A8B12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F4-4A6F-8447-78CEA06A8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F4-4A6F-8447-78CEA06A8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615272"/>
        <c:axId val="400608608"/>
        <c:axId val="0"/>
      </c:bar3DChart>
      <c:catAx>
        <c:axId val="40061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8608"/>
        <c:crosses val="autoZero"/>
        <c:auto val="1"/>
        <c:lblAlgn val="ctr"/>
        <c:lblOffset val="100"/>
        <c:noMultiLvlLbl val="0"/>
      </c:catAx>
      <c:valAx>
        <c:axId val="40060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5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D0-45E6-A069-7BD3ED474CE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D0-45E6-A069-7BD3ED474CEB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D0-45E6-A069-7BD3ED474CEB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D0-45E6-A069-7BD3ED474C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D0-45E6-A069-7BD3ED474CE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22-4575-A50D-BBE9DD10ED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22-4575-A50D-BBE9DD10ED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622-4575-A50D-BBE9DD10ED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622-4575-A50D-BBE9DD10ED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622-4575-A50D-BBE9DD10ED11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622-4575-A50D-BBE9DD10ED11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622-4575-A50D-BBE9DD10ED11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622-4575-A50D-BBE9DD10ED11}"/>
                </c:ext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622-4575-A50D-BBE9DD10ED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22-4575-A50D-BBE9DD10E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F63-448E-B5EA-187BC1C350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F63-448E-B5EA-187BC1C350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F63-448E-B5EA-187BC1C350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F63-448E-B5EA-187BC1C3503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F63-448E-B5EA-187BC1C3503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F63-448E-B5EA-187BC1C3503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F63-448E-B5EA-187BC1C3503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F63-448E-B5EA-187BC1C3503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F63-448E-B5EA-187BC1C3503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F63-448E-B5EA-187BC1C3503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F63-448E-B5EA-187BC1C3503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F63-448E-B5EA-187BC1C3503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F63-448E-B5EA-187BC1C3503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F63-448E-B5EA-187BC1C3503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F63-448E-B5EA-187BC1C3503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7F63-448E-B5EA-187BC1C3503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7F63-448E-B5EA-187BC1C3503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7F63-448E-B5EA-187BC1C3503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7F63-448E-B5EA-187BC1C35039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7F63-448E-B5EA-187BC1C3503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7F63-448E-B5EA-187BC1C3503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7F63-448E-B5EA-187BC1C35039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7F63-448E-B5EA-187BC1C35039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7F63-448E-B5EA-187BC1C35039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7F63-448E-B5EA-187BC1C35039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7F63-448E-B5EA-187BC1C35039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7F63-448E-B5EA-187BC1C35039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7-7F63-448E-B5EA-187BC1C35039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9-7F63-448E-B5EA-187BC1C35039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B-7F63-448E-B5EA-187BC1C35039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D-7F63-448E-B5EA-187BC1C35039}"/>
              </c:ext>
            </c:extLst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63-448E-B5EA-187BC1C35039}"/>
                </c:ext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63-448E-B5EA-187BC1C35039}"/>
                </c:ext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63-448E-B5EA-187BC1C35039}"/>
                </c:ext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F63-448E-B5EA-187BC1C35039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63-448E-B5EA-187BC1C35039}"/>
                </c:ext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F63-448E-B5EA-187BC1C35039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F63-448E-B5EA-187BC1C35039}"/>
                </c:ext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F63-448E-B5EA-187BC1C35039}"/>
                </c:ext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F63-448E-B5EA-187BC1C35039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F63-448E-B5EA-187BC1C35039}"/>
                </c:ext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F63-448E-B5EA-187BC1C35039}"/>
                </c:ext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F63-448E-B5EA-187BC1C35039}"/>
                </c:ext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F63-448E-B5EA-187BC1C35039}"/>
                </c:ext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F63-448E-B5EA-187BC1C35039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F63-448E-B5EA-187BC1C35039}"/>
                </c:ext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F63-448E-B5EA-187BC1C35039}"/>
                </c:ext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F63-448E-B5EA-187BC1C35039}"/>
                </c:ext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7F63-448E-B5EA-187BC1C35039}"/>
                </c:ext>
              </c:extLst>
            </c:dLbl>
            <c:dLbl>
              <c:idx val="18"/>
              <c:layout>
                <c:manualLayout>
                  <c:x val="5.4567985036353212E-2"/>
                  <c:y val="-3.92907835161089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7F63-448E-B5EA-187BC1C35039}"/>
                </c:ext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7F63-448E-B5EA-187BC1C35039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7F63-448E-B5EA-187BC1C35039}"/>
                </c:ext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7F63-448E-B5EA-187BC1C35039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D-7F63-448E-B5EA-187BC1C35039}"/>
                </c:ext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F-7F63-448E-B5EA-187BC1C35039}"/>
                </c:ext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1-7F63-448E-B5EA-187BC1C35039}"/>
                </c:ext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3-7F63-448E-B5EA-187BC1C35039}"/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5-7F63-448E-B5EA-187BC1C35039}"/>
                </c:ext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7-7F63-448E-B5EA-187BC1C35039}"/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9-7F63-448E-B5EA-187BC1C35039}"/>
                </c:ext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B-7F63-448E-B5EA-187BC1C350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E-7F63-448E-B5EA-187BC1C35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CD-461B-9268-FB73799BFF6A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2CD-461B-9268-FB73799BFF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CD-461B-9268-FB73799BFF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CD-461B-9268-FB73799BF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0606648"/>
        <c:axId val="400604688"/>
      </c:barChart>
      <c:valAx>
        <c:axId val="40060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6648"/>
        <c:crosses val="autoZero"/>
        <c:crossBetween val="between"/>
      </c:valAx>
      <c:catAx>
        <c:axId val="400606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4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44-4DBB-8F1E-E843C329C05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44-4DBB-8F1E-E843C329C05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44-4DBB-8F1E-E843C329C058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144-4DBB-8F1E-E843C329C058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144-4DBB-8F1E-E843C329C058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144-4DBB-8F1E-E843C329C0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44-4DBB-8F1E-E843C329C0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DA-41F6-AD0D-128FCB15783B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DA-41F6-AD0D-128FCB15783B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9DA-41F6-AD0D-128FCB15783B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9DA-41F6-AD0D-128FCB1578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DA-41F6-AD0D-128FCB1578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29-4E38-BBCD-BE47C5F1FC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29-4E38-BBCD-BE47C5F1FC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29-4E38-BBCD-BE47C5F1FC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615664"/>
        <c:axId val="400610176"/>
      </c:barChart>
      <c:catAx>
        <c:axId val="40061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0176"/>
        <c:crosses val="autoZero"/>
        <c:auto val="1"/>
        <c:lblAlgn val="ctr"/>
        <c:lblOffset val="100"/>
        <c:noMultiLvlLbl val="0"/>
      </c:catAx>
      <c:valAx>
        <c:axId val="40061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1-4BB4-9FF9-C4912B3DC9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C1-4BB4-9FF9-C4912B3DC9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C1-4BB4-9FF9-C4912B3DC9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613704"/>
        <c:axId val="400611352"/>
      </c:barChart>
      <c:catAx>
        <c:axId val="40061370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1352"/>
        <c:crosses val="autoZero"/>
        <c:auto val="1"/>
        <c:lblAlgn val="ctr"/>
        <c:lblOffset val="100"/>
        <c:tickLblSkip val="1"/>
        <c:noMultiLvlLbl val="0"/>
      </c:catAx>
      <c:valAx>
        <c:axId val="40061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3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5B3-4C82-9C39-37B361A1BB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B3-4C82-9C39-37B361A1BB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5B3-4C82-9C39-37B361A1BBE3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5B3-4C82-9C39-37B361A1BB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B3-4C82-9C39-37B361A1BB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5B3-4C82-9C39-37B361A1BB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00611744"/>
        <c:axId val="400614096"/>
      </c:barChart>
      <c:catAx>
        <c:axId val="40061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4096"/>
        <c:crosses val="autoZero"/>
        <c:auto val="1"/>
        <c:lblAlgn val="ctr"/>
        <c:lblOffset val="100"/>
        <c:noMultiLvlLbl val="0"/>
      </c:catAx>
      <c:valAx>
        <c:axId val="40061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1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E1-427F-9684-F0E27E4DC2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E1-427F-9684-F0E27E4DC2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E1-427F-9684-F0E27E4DC2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E1-427F-9684-F0E27E4DC2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CE1-427F-9684-F0E27E4DC2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CE1-427F-9684-F0E27E4DC2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CE1-427F-9684-F0E27E4DC2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CE1-427F-9684-F0E27E4DC25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CE1-427F-9684-F0E27E4DC25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CE1-427F-9684-F0E27E4DC25A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CE1-427F-9684-F0E27E4DC25A}"/>
                </c:ext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CE1-427F-9684-F0E27E4DC25A}"/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CE1-427F-9684-F0E27E4DC25A}"/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CE1-427F-9684-F0E27E4DC25A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2CE1-427F-9684-F0E27E4DC25A}"/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2CE1-427F-9684-F0E27E4DC25A}"/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CE1-427F-9684-F0E27E4DC25A}"/>
                </c:ext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2CE1-427F-9684-F0E27E4DC25A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2CE1-427F-9684-F0E27E4DC25A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CE1-427F-9684-F0E27E4DC2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CE1-427F-9684-F0E27E4DC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D-4B19-A249-C4DD692B6A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BD-4B19-A249-C4DD692B6A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BD-4B19-A249-C4DD692B6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0605472"/>
        <c:axId val="400607040"/>
      </c:barChart>
      <c:catAx>
        <c:axId val="400605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7040"/>
        <c:crosses val="autoZero"/>
        <c:auto val="1"/>
        <c:lblAlgn val="ctr"/>
        <c:lblOffset val="100"/>
        <c:noMultiLvlLbl val="0"/>
      </c:catAx>
      <c:valAx>
        <c:axId val="40060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60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966-B082-404D-9303-78122AC2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ФоминцеваЕИ</cp:lastModifiedBy>
  <cp:revision>2</cp:revision>
  <cp:lastPrinted>2021-02-11T05:26:00Z</cp:lastPrinted>
  <dcterms:created xsi:type="dcterms:W3CDTF">2022-10-11T11:09:00Z</dcterms:created>
  <dcterms:modified xsi:type="dcterms:W3CDTF">2022-10-11T11:09:00Z</dcterms:modified>
</cp:coreProperties>
</file>